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35DB8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1B332A3">
      <w:pPr>
        <w:spacing w:line="360" w:lineRule="auto"/>
        <w:jc w:val="center"/>
        <w:rPr>
          <w:rFonts w:hint="default" w:ascii="Times New Roman" w:hAnsi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/>
          <w:b/>
          <w:sz w:val="28"/>
          <w:szCs w:val="28"/>
          <w:lang w:val="ru-RU"/>
        </w:rPr>
        <w:drawing>
          <wp:inline distT="0" distB="0" distL="114300" distR="114300">
            <wp:extent cx="5394325" cy="8768715"/>
            <wp:effectExtent l="0" t="0" r="6985" b="3175"/>
            <wp:docPr id="1" name="Изображение 1" descr="Скан_20241213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Скан_20241213 (6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94325" cy="876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p w14:paraId="02B92B60">
      <w:pPr>
        <w:spacing w:line="360" w:lineRule="auto"/>
        <w:jc w:val="center"/>
        <w:rPr>
          <w:rFonts w:hint="default" w:ascii="Times New Roman" w:hAnsi="Times New Roman"/>
          <w:b/>
          <w:sz w:val="28"/>
          <w:szCs w:val="28"/>
          <w:lang w:val="ru-RU"/>
        </w:rPr>
      </w:pPr>
    </w:p>
    <w:p w14:paraId="42E11888">
      <w:pPr>
        <w:spacing w:line="360" w:lineRule="auto"/>
        <w:jc w:val="center"/>
        <w:rPr>
          <w:rFonts w:hint="default"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14:paraId="34A2F6CF">
      <w:pPr>
        <w:pStyle w:val="4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Одной из главных проблем, которую приходится решать педагогам нашей школы, — это работа со слабоуспевающими учащимися.</w:t>
      </w:r>
    </w:p>
    <w:p w14:paraId="14B154B3">
      <w:pPr>
        <w:pStyle w:val="4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Слабоуспевающими принято считать учащихся, которые имеют слабые учебные умения и навыки, низкий уровень памяти или те, у которых отсутствуют действенные мотивы учения.</w:t>
      </w:r>
    </w:p>
    <w:p w14:paraId="2BCDA40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«Целевой моделью наставничества»  разработана Программа наставничества </w:t>
      </w:r>
      <w:r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УЧИТЕЛЬ – УЧЕНИК», осуществляющая образовательную деятельность по  общеобразовательным программам. Программа  разработана в целях достижения результатов федеральных и региональных проектов  «Успех каждого ребенка»</w:t>
      </w:r>
      <w:r>
        <w:fldChar w:fldCharType="begin"/>
      </w:r>
      <w:r>
        <w:instrText xml:space="preserve"> HYPERLINK "http://docs.cntd.ru/document/552189837" </w:instrText>
      </w:r>
      <w:r>
        <w:fldChar w:fldCharType="separate"/>
      </w:r>
      <w:r>
        <w:rPr>
          <w:rStyle w:val="10"/>
          <w:color w:val="auto"/>
          <w:sz w:val="28"/>
          <w:szCs w:val="28"/>
          <w:u w:val="none"/>
        </w:rPr>
        <w:t xml:space="preserve"> национального проекта</w:t>
      </w:r>
      <w:r>
        <w:rPr>
          <w:rStyle w:val="10"/>
          <w:color w:val="auto"/>
          <w:sz w:val="28"/>
          <w:szCs w:val="28"/>
          <w:u w:val="none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</w:t>
      </w:r>
      <w:r>
        <w:fldChar w:fldCharType="begin"/>
      </w:r>
      <w:r>
        <w:instrText xml:space="preserve"> HYPERLINK "http://docs.cntd.ru/document/552189837" </w:instrText>
      </w:r>
      <w:r>
        <w:fldChar w:fldCharType="separate"/>
      </w:r>
      <w:r>
        <w:rPr>
          <w:rStyle w:val="10"/>
          <w:color w:val="auto"/>
          <w:sz w:val="28"/>
          <w:szCs w:val="28"/>
          <w:u w:val="none"/>
        </w:rPr>
        <w:t>«Образование».</w:t>
      </w:r>
      <w:r>
        <w:rPr>
          <w:rStyle w:val="10"/>
          <w:color w:val="auto"/>
          <w:sz w:val="28"/>
          <w:szCs w:val="28"/>
          <w:u w:val="none"/>
        </w:rPr>
        <w:fldChar w:fldCharType="end"/>
      </w:r>
    </w:p>
    <w:p w14:paraId="085F7ED9">
      <w:pPr>
        <w:pStyle w:val="6"/>
        <w:shd w:val="clear" w:color="auto" w:fill="FFFFFF"/>
        <w:spacing w:line="360" w:lineRule="auto"/>
        <w:jc w:val="both"/>
        <w:rPr>
          <w:rFonts w:eastAsia="Calibri"/>
          <w:sz w:val="28"/>
          <w:szCs w:val="28"/>
          <w:shd w:val="clear" w:color="auto" w:fill="FFFFFF"/>
        </w:rPr>
      </w:pPr>
      <w:r>
        <w:rPr>
          <w:rFonts w:eastAsia="Calibri"/>
          <w:sz w:val="28"/>
          <w:szCs w:val="28"/>
          <w:shd w:val="clear" w:color="auto" w:fill="FFFFFF"/>
        </w:rPr>
        <w:t xml:space="preserve"> </w:t>
      </w:r>
      <w:r>
        <w:rPr>
          <w:rFonts w:eastAsia="Calibri"/>
          <w:b/>
          <w:bCs/>
          <w:sz w:val="28"/>
          <w:szCs w:val="28"/>
        </w:rPr>
        <w:t xml:space="preserve">Актуальность </w:t>
      </w:r>
      <w:r>
        <w:rPr>
          <w:rFonts w:eastAsia="Calibri"/>
          <w:sz w:val="28"/>
          <w:szCs w:val="28"/>
          <w:shd w:val="clear" w:color="auto" w:fill="FFFFFF"/>
        </w:rPr>
        <w:t>программы заключается в том, что</w:t>
      </w:r>
      <w:r>
        <w:rPr>
          <w:sz w:val="28"/>
          <w:szCs w:val="28"/>
          <w:shd w:val="clear" w:color="auto" w:fill="FFFFFF"/>
        </w:rPr>
        <w:t xml:space="preserve"> происходящие социально-экономические изменения в жизни нашего общества, постоянное повышение требований к уровню общего образования обострили проблему школьной неуспеваемости. Количество учащихся, которые по различным причинам оказываются не в состоянии за отведенное время и в необходимом объеме усвоить учебную программу, постоянно увеличивается.</w:t>
      </w:r>
    </w:p>
    <w:p w14:paraId="580AA5D7">
      <w:pPr>
        <w:pStyle w:val="6"/>
        <w:shd w:val="clear" w:color="auto" w:fill="FFFFFF"/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rStyle w:val="12"/>
          <w:b/>
          <w:bCs/>
          <w:sz w:val="28"/>
          <w:szCs w:val="28"/>
          <w:shd w:val="clear" w:color="auto" w:fill="FFFFFF"/>
        </w:rPr>
        <w:t>Педагогическая целесообразность программы</w:t>
      </w:r>
      <w:r>
        <w:rPr>
          <w:rStyle w:val="11"/>
          <w:sz w:val="28"/>
          <w:szCs w:val="28"/>
          <w:shd w:val="clear" w:color="auto" w:fill="FFFFFF"/>
        </w:rPr>
        <w:t xml:space="preserve"> заключается в</w:t>
      </w:r>
      <w:r>
        <w:rPr>
          <w:sz w:val="28"/>
          <w:szCs w:val="28"/>
          <w:shd w:val="clear" w:color="auto" w:fill="FFFFFF"/>
        </w:rPr>
        <w:t xml:space="preserve"> необходимости специальной «поддерживающей» работы, помогающей детям, испытывающим трудности в обучении, успешно осваивать учебный материал, получая постоянное положение от учителя. Необходимы дополнительные упражнения, в которые заключена продуманная система помощи ребенку, заключающая в серии «подсказок», в основе которых лежит последовательность операций, необходимых для успешного обучения.</w:t>
      </w:r>
    </w:p>
    <w:p w14:paraId="69FB8EA7">
      <w:pPr>
        <w:pStyle w:val="6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Внедрение Программы наставничества в школе обеспечит системность и преемственность наставнических отношений.</w:t>
      </w:r>
    </w:p>
    <w:p w14:paraId="0BF05A53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2D3DAE9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наставничества «учитель – ученик»</w:t>
      </w:r>
    </w:p>
    <w:p w14:paraId="215B00E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Предполагает взаимодействие педагогов (учитель) и обучающихся (ученик) МБОУ НОШ с.Дурген.</w:t>
      </w:r>
    </w:p>
    <w:p w14:paraId="6C46228F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0A74D28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ЦЕЛИ:</w:t>
      </w:r>
    </w:p>
    <w:p w14:paraId="3175615D">
      <w:pPr>
        <w:pStyle w:val="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Повышение успеваемости и качества знаний обучающегося</w:t>
      </w:r>
    </w:p>
    <w:p w14:paraId="3CE3684D">
      <w:pPr>
        <w:pStyle w:val="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ЗАДАЧИ:</w:t>
      </w:r>
    </w:p>
    <w:p w14:paraId="38F4331B">
      <w:pPr>
        <w:pStyle w:val="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выявление возможных причин снижения успеваемости и качества знаний обучающегося;</w:t>
      </w:r>
    </w:p>
    <w:p w14:paraId="56AE412F">
      <w:pPr>
        <w:pStyle w:val="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ликвидация пробелов у учащихся в обучении   по предметам;</w:t>
      </w:r>
    </w:p>
    <w:p w14:paraId="233017C0">
      <w:pPr>
        <w:pStyle w:val="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создание условий для успешного индивидуального развития ребенка;</w:t>
      </w:r>
    </w:p>
    <w:p w14:paraId="33A8BC32">
      <w:pPr>
        <w:pStyle w:val="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создание ситуации успеха, наиболее эффективного стимула познавательной деятельности;</w:t>
      </w:r>
    </w:p>
    <w:p w14:paraId="28E49043">
      <w:pPr>
        <w:pStyle w:val="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пробуждение природной любознательности;</w:t>
      </w:r>
    </w:p>
    <w:p w14:paraId="0208DB02">
      <w:pPr>
        <w:pStyle w:val="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вовлечение учащихся в совместный поиск форм работы, поля деятельности;</w:t>
      </w:r>
    </w:p>
    <w:p w14:paraId="51AEF88A">
      <w:pPr>
        <w:pStyle w:val="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создание максимально благожелательных отношений учителя и учащихся  к слабому ученику;</w:t>
      </w:r>
    </w:p>
    <w:p w14:paraId="41A68C45">
      <w:pPr>
        <w:pStyle w:val="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принятие комплексных мер, направленных на повышение успеваемости;</w:t>
      </w:r>
    </w:p>
    <w:p w14:paraId="4C18EDFB">
      <w:pPr>
        <w:pStyle w:val="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14:paraId="5459E92A">
      <w:pPr>
        <w:pStyle w:val="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формирование ответственного отношения учащихся к учебному труду.</w:t>
      </w:r>
    </w:p>
    <w:p w14:paraId="0FA3C0A7">
      <w:pPr>
        <w:pStyle w:val="6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14:paraId="18A1F540">
      <w:pPr>
        <w:pStyle w:val="6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14:paraId="2EB3C96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Нормативные основы модели наставничества</w:t>
      </w:r>
    </w:p>
    <w:p w14:paraId="00553AD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Нормативные правовые акты.</w:t>
      </w:r>
    </w:p>
    <w:p w14:paraId="257EFDE2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fldChar w:fldCharType="begin"/>
      </w:r>
      <w:r>
        <w:instrText xml:space="preserve"> HYPERLINK "http://docs.cntd.ru/document/1900759" </w:instrText>
      </w:r>
      <w:r>
        <w:fldChar w:fldCharType="separate"/>
      </w:r>
      <w:r>
        <w:rPr>
          <w:rStyle w:val="10"/>
          <w:color w:val="auto"/>
          <w:sz w:val="28"/>
          <w:szCs w:val="28"/>
          <w:u w:val="none"/>
        </w:rPr>
        <w:t xml:space="preserve"> Конвенция о правах ребенка,</w:t>
      </w:r>
      <w:r>
        <w:rPr>
          <w:rStyle w:val="10"/>
          <w:color w:val="auto"/>
          <w:sz w:val="28"/>
          <w:szCs w:val="28"/>
          <w:u w:val="none"/>
        </w:rPr>
        <w:fldChar w:fldCharType="end"/>
      </w:r>
      <w:r>
        <w:rPr>
          <w:sz w:val="28"/>
          <w:szCs w:val="28"/>
        </w:rPr>
        <w:t xml:space="preserve"> одобренная Генеральной Ассамблеей ООН 20 ноября 1989 г., ратифицированной</w:t>
      </w:r>
      <w:r>
        <w:fldChar w:fldCharType="begin"/>
      </w:r>
      <w:r>
        <w:instrText xml:space="preserve"> HYPERLINK "http://docs.cntd.ru/document/9009714" </w:instrText>
      </w:r>
      <w:r>
        <w:fldChar w:fldCharType="separate"/>
      </w:r>
      <w:r>
        <w:rPr>
          <w:rStyle w:val="10"/>
          <w:color w:val="auto"/>
          <w:sz w:val="28"/>
          <w:szCs w:val="28"/>
          <w:u w:val="none"/>
        </w:rPr>
        <w:t xml:space="preserve"> Постановлением ВС СССР от 13 июня 1990 г. N1559- 1.</w:t>
      </w:r>
      <w:r>
        <w:rPr>
          <w:rStyle w:val="10"/>
          <w:color w:val="auto"/>
          <w:sz w:val="28"/>
          <w:szCs w:val="28"/>
          <w:u w:val="none"/>
        </w:rPr>
        <w:fldChar w:fldCharType="end"/>
      </w:r>
    </w:p>
    <w:p w14:paraId="6787C82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Нормативные правовые акты Российской Федерации.</w:t>
      </w:r>
    </w:p>
    <w:p w14:paraId="0B1AFE56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fldChar w:fldCharType="begin"/>
      </w:r>
      <w:r>
        <w:instrText xml:space="preserve"> HYPERLINK "http://docs.cntd.ru/document/9004937" </w:instrText>
      </w:r>
      <w:r>
        <w:fldChar w:fldCharType="separate"/>
      </w:r>
      <w:r>
        <w:rPr>
          <w:rStyle w:val="10"/>
          <w:color w:val="auto"/>
          <w:sz w:val="28"/>
          <w:szCs w:val="28"/>
          <w:u w:val="none"/>
        </w:rPr>
        <w:t xml:space="preserve"> Конституция Российской Федерации.</w:t>
      </w:r>
      <w:r>
        <w:rPr>
          <w:rStyle w:val="10"/>
          <w:color w:val="auto"/>
          <w:sz w:val="28"/>
          <w:szCs w:val="28"/>
          <w:u w:val="none"/>
        </w:rPr>
        <w:fldChar w:fldCharType="end"/>
      </w:r>
    </w:p>
    <w:p w14:paraId="51D33932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fldChar w:fldCharType="begin"/>
      </w:r>
      <w:r>
        <w:instrText xml:space="preserve"> HYPERLINK "http://docs.cntd.ru/document/902389617" </w:instrText>
      </w:r>
      <w:r>
        <w:fldChar w:fldCharType="separate"/>
      </w:r>
      <w:r>
        <w:rPr>
          <w:rStyle w:val="10"/>
          <w:color w:val="auto"/>
          <w:sz w:val="28"/>
          <w:szCs w:val="28"/>
          <w:u w:val="none"/>
        </w:rPr>
        <w:t xml:space="preserve"> Федеральный закон от 29 декабря 2012 г. N273-ФЗ "Об образовании в Российской</w:t>
      </w:r>
      <w:r>
        <w:rPr>
          <w:rStyle w:val="10"/>
          <w:color w:val="auto"/>
          <w:sz w:val="28"/>
          <w:szCs w:val="28"/>
          <w:u w:val="none"/>
        </w:rPr>
        <w:fldChar w:fldCharType="end"/>
      </w:r>
      <w:r>
        <w:rPr>
          <w:rStyle w:val="10"/>
          <w:color w:val="auto"/>
          <w:sz w:val="28"/>
          <w:szCs w:val="28"/>
          <w:u w:val="none"/>
        </w:rPr>
        <w:t xml:space="preserve"> </w:t>
      </w:r>
      <w:r>
        <w:fldChar w:fldCharType="begin"/>
      </w:r>
      <w:r>
        <w:instrText xml:space="preserve"> HYPERLINK "http://docs.cntd.ru/document/902389617" </w:instrText>
      </w:r>
      <w:r>
        <w:fldChar w:fldCharType="separate"/>
      </w:r>
      <w:r>
        <w:rPr>
          <w:rStyle w:val="10"/>
          <w:color w:val="auto"/>
          <w:sz w:val="28"/>
          <w:szCs w:val="28"/>
          <w:u w:val="none"/>
        </w:rPr>
        <w:t>Федерации".</w:t>
      </w:r>
      <w:r>
        <w:rPr>
          <w:rStyle w:val="10"/>
          <w:color w:val="auto"/>
          <w:sz w:val="28"/>
          <w:szCs w:val="28"/>
          <w:u w:val="none"/>
        </w:rPr>
        <w:fldChar w:fldCharType="end"/>
      </w:r>
    </w:p>
    <w:p w14:paraId="6C564EA6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fldChar w:fldCharType="begin"/>
      </w:r>
      <w:r>
        <w:instrText xml:space="preserve"> HYPERLINK "http://docs.cntd.ru/document/420277810" </w:instrText>
      </w:r>
      <w:r>
        <w:fldChar w:fldCharType="separate"/>
      </w:r>
      <w:r>
        <w:rPr>
          <w:rStyle w:val="10"/>
          <w:color w:val="auto"/>
          <w:sz w:val="28"/>
          <w:szCs w:val="28"/>
          <w:u w:val="none"/>
        </w:rPr>
        <w:t xml:space="preserve"> Стратегия развития воспитания в Российской Федерации до 2025 года</w:t>
      </w:r>
      <w:r>
        <w:rPr>
          <w:rStyle w:val="10"/>
          <w:color w:val="auto"/>
          <w:sz w:val="28"/>
          <w:szCs w:val="28"/>
          <w:u w:val="none"/>
        </w:rPr>
        <w:fldChar w:fldCharType="end"/>
      </w:r>
      <w:r>
        <w:rPr>
          <w:sz w:val="28"/>
          <w:szCs w:val="28"/>
        </w:rPr>
        <w:t xml:space="preserve"> (утвержденная</w:t>
      </w:r>
      <w:r>
        <w:fldChar w:fldCharType="begin"/>
      </w:r>
      <w:r>
        <w:instrText xml:space="preserve"> HYPERLINK "http://docs.cntd.ru/document/420277810" </w:instrText>
      </w:r>
      <w:r>
        <w:fldChar w:fldCharType="separate"/>
      </w:r>
      <w:r>
        <w:rPr>
          <w:rStyle w:val="10"/>
          <w:color w:val="auto"/>
          <w:sz w:val="28"/>
          <w:szCs w:val="28"/>
          <w:u w:val="none"/>
        </w:rPr>
        <w:t xml:space="preserve"> распоряжением Правительства Российской Федерации от 29 мая 2015 г.</w:t>
      </w:r>
      <w:r>
        <w:rPr>
          <w:rStyle w:val="10"/>
          <w:color w:val="auto"/>
          <w:sz w:val="28"/>
          <w:szCs w:val="28"/>
          <w:u w:val="none"/>
        </w:rPr>
        <w:fldChar w:fldCharType="end"/>
      </w:r>
      <w:r>
        <w:fldChar w:fldCharType="begin"/>
      </w:r>
      <w:r>
        <w:instrText xml:space="preserve"> HYPERLINK "http://docs.cntd.ru/document/420277810" </w:instrText>
      </w:r>
      <w:r>
        <w:fldChar w:fldCharType="separate"/>
      </w:r>
      <w:r>
        <w:rPr>
          <w:rStyle w:val="10"/>
          <w:color w:val="auto"/>
          <w:sz w:val="28"/>
          <w:szCs w:val="28"/>
          <w:u w:val="none"/>
        </w:rPr>
        <w:t>N 996-р)</w:t>
      </w:r>
      <w:r>
        <w:rPr>
          <w:rStyle w:val="10"/>
          <w:color w:val="auto"/>
          <w:sz w:val="28"/>
          <w:szCs w:val="28"/>
          <w:u w:val="none"/>
        </w:rPr>
        <w:fldChar w:fldCharType="end"/>
      </w:r>
      <w:r>
        <w:rPr>
          <w:sz w:val="28"/>
          <w:szCs w:val="28"/>
        </w:rPr>
        <w:t>.</w:t>
      </w:r>
    </w:p>
    <w:p w14:paraId="1B19E677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fldChar w:fldCharType="begin"/>
      </w:r>
      <w:r>
        <w:instrText xml:space="preserve"> HYPERLINK "http://docs.cntd.ru/document/9027690" </w:instrText>
      </w:r>
      <w:r>
        <w:fldChar w:fldCharType="separate"/>
      </w:r>
      <w:r>
        <w:rPr>
          <w:rStyle w:val="10"/>
          <w:color w:val="auto"/>
          <w:sz w:val="28"/>
          <w:szCs w:val="28"/>
          <w:u w:val="none"/>
        </w:rPr>
        <w:t xml:space="preserve"> Гражданский кодекс Российской Федерации.</w:t>
      </w:r>
      <w:r>
        <w:rPr>
          <w:rStyle w:val="10"/>
          <w:color w:val="auto"/>
          <w:sz w:val="28"/>
          <w:szCs w:val="28"/>
          <w:u w:val="none"/>
        </w:rPr>
        <w:fldChar w:fldCharType="end"/>
      </w:r>
    </w:p>
    <w:p w14:paraId="5074812A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fldChar w:fldCharType="begin"/>
      </w:r>
      <w:r>
        <w:instrText xml:space="preserve"> HYPERLINK "http://docs.cntd.ru/document/901807664" </w:instrText>
      </w:r>
      <w:r>
        <w:fldChar w:fldCharType="separate"/>
      </w:r>
      <w:r>
        <w:rPr>
          <w:rStyle w:val="10"/>
          <w:color w:val="auto"/>
          <w:sz w:val="28"/>
          <w:szCs w:val="28"/>
          <w:u w:val="none"/>
        </w:rPr>
        <w:t xml:space="preserve"> Трудовой кодекс Российской Федерации.</w:t>
      </w:r>
      <w:r>
        <w:rPr>
          <w:rStyle w:val="10"/>
          <w:color w:val="auto"/>
          <w:sz w:val="28"/>
          <w:szCs w:val="28"/>
          <w:u w:val="none"/>
        </w:rPr>
        <w:fldChar w:fldCharType="end"/>
      </w:r>
    </w:p>
    <w:p w14:paraId="5D92B8D2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Распоряжение министерства образования Российской Федерации № Р-145 от 25 декабря 2019 г. «Об утверждении методологии (целевой) модели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обучающимися».</w:t>
      </w:r>
    </w:p>
    <w:p w14:paraId="44F91142">
      <w:pPr>
        <w:pStyle w:val="8"/>
        <w:keepNext/>
        <w:keepLines/>
        <w:spacing w:line="360" w:lineRule="auto"/>
        <w:jc w:val="center"/>
        <w:rPr>
          <w:sz w:val="28"/>
          <w:szCs w:val="28"/>
        </w:rPr>
      </w:pPr>
      <w:bookmarkStart w:id="0" w:name="bookmark10"/>
      <w:bookmarkEnd w:id="0"/>
      <w:r>
        <w:rPr>
          <w:color w:val="000000"/>
          <w:sz w:val="28"/>
          <w:szCs w:val="28"/>
        </w:rPr>
        <w:t xml:space="preserve">Нормативные правовые акты </w:t>
      </w:r>
      <w:r>
        <w:rPr>
          <w:sz w:val="28"/>
          <w:szCs w:val="28"/>
        </w:rPr>
        <w:t>МБОУНОШ с.Дурген</w:t>
      </w:r>
    </w:p>
    <w:p w14:paraId="6CEFA09F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Устав муниципального бюджетного общеобразовательного учреждения начальной общеобразовательной школы села Дурген.</w:t>
      </w:r>
    </w:p>
    <w:p w14:paraId="59FF6F5A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Программа развития </w:t>
      </w:r>
      <w:r>
        <w:rPr>
          <w:sz w:val="28"/>
          <w:szCs w:val="28"/>
        </w:rPr>
        <w:t>МБОУ НОШ с.Дурген</w:t>
      </w:r>
      <w:r>
        <w:rPr>
          <w:color w:val="000000"/>
          <w:sz w:val="28"/>
          <w:szCs w:val="28"/>
        </w:rPr>
        <w:t>.</w:t>
      </w:r>
    </w:p>
    <w:p w14:paraId="5A62E887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Отчет о результатах само обследования деятельности муниципального бюджетного общеобразовательного учреждения НОШ с.Дурген.</w:t>
      </w:r>
    </w:p>
    <w:p w14:paraId="35F8E989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Положение о педагогическом совете</w:t>
      </w:r>
    </w:p>
    <w:p w14:paraId="3F5596D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1B662EE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Принципы наставничества</w:t>
      </w:r>
    </w:p>
    <w:p w14:paraId="3E400006">
      <w:pPr>
        <w:pStyle w:val="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>добровольность;</w:t>
      </w:r>
    </w:p>
    <w:p w14:paraId="0D18D756">
      <w:pPr>
        <w:pStyle w:val="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>гуманность;</w:t>
      </w:r>
    </w:p>
    <w:p w14:paraId="3847720F">
      <w:pPr>
        <w:pStyle w:val="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>соблюдение прав наставляемого;</w:t>
      </w:r>
    </w:p>
    <w:p w14:paraId="2340BEE1">
      <w:pPr>
        <w:pStyle w:val="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>соблюдение прав наставника;</w:t>
      </w:r>
    </w:p>
    <w:p w14:paraId="664E38E3">
      <w:pPr>
        <w:pStyle w:val="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>конфиденциальность;</w:t>
      </w:r>
    </w:p>
    <w:p w14:paraId="1E3F4EE2">
      <w:pPr>
        <w:pStyle w:val="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>ответственность;</w:t>
      </w:r>
    </w:p>
    <w:p w14:paraId="5DD04308">
      <w:pPr>
        <w:pStyle w:val="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>искреннее желание помочь в преодолении трудностей;</w:t>
      </w:r>
    </w:p>
    <w:p w14:paraId="0D5AF429">
      <w:pPr>
        <w:pStyle w:val="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>взаимопонимание;</w:t>
      </w:r>
    </w:p>
    <w:p w14:paraId="55123530">
      <w:pPr>
        <w:pStyle w:val="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>способность видеть личность.</w:t>
      </w:r>
    </w:p>
    <w:p w14:paraId="33616049">
      <w:pPr>
        <w:pStyle w:val="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69FB162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Формы организации наставничества:</w:t>
      </w:r>
    </w:p>
    <w:p w14:paraId="00D5B627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7E1CF2A9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-индивидуальные теоретические занятия;</w:t>
      </w:r>
    </w:p>
    <w:p w14:paraId="5D398B06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-индивидуальные практические занятия;</w:t>
      </w:r>
    </w:p>
    <w:p w14:paraId="209B8516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-самостоятельные тренинги;</w:t>
      </w:r>
    </w:p>
    <w:p w14:paraId="5B9A774A">
      <w:pPr>
        <w:pStyle w:val="4"/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индивидуальная консультация.</w:t>
      </w:r>
    </w:p>
    <w:p w14:paraId="50A0FCD9">
      <w:pPr>
        <w:shd w:val="clear" w:color="auto" w:fill="FFFFFF"/>
        <w:spacing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Основные формы проведения занятий:</w:t>
      </w:r>
    </w:p>
    <w:p w14:paraId="1FF8AC77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учебная, учебно-тренировочная.</w:t>
      </w:r>
      <w:bookmarkStart w:id="1" w:name="bookmark12"/>
      <w:bookmarkEnd w:id="1"/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14:paraId="7739F061">
      <w:pPr>
        <w:pStyle w:val="8"/>
        <w:keepNext/>
        <w:keepLines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Ожидаемые результаты внедрения модели наставничества</w:t>
      </w:r>
      <w:r>
        <w:rPr>
          <w:sz w:val="28"/>
          <w:szCs w:val="28"/>
        </w:rPr>
        <w:t xml:space="preserve"> </w:t>
      </w:r>
    </w:p>
    <w:p w14:paraId="0E4B1743">
      <w:pPr>
        <w:shd w:val="clear" w:color="auto" w:fill="FFFFFF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Ликвидация неуспеваемости.</w:t>
      </w:r>
    </w:p>
    <w:p w14:paraId="6C7B6F68">
      <w:pPr>
        <w:shd w:val="clear" w:color="auto" w:fill="FFFFFF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Повышение уровня обученности учащихся.</w:t>
      </w:r>
    </w:p>
    <w:p w14:paraId="55F810E2">
      <w:pPr>
        <w:shd w:val="clear" w:color="auto" w:fill="FFFFFF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Повышение качества знаний учащихся.</w:t>
      </w:r>
    </w:p>
    <w:p w14:paraId="65944629">
      <w:pPr>
        <w:shd w:val="clear" w:color="auto" w:fill="FFFFFF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Повышение мотивации к учению.</w:t>
      </w:r>
    </w:p>
    <w:p w14:paraId="7CB8325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Результатом правильной организации работы наставников будет высокий уровень включенности наставляемых во все социальные, культурные и образовательные процессы МБОУ НОШ с.Дурген, что окажет несомненное положительное влияние на эмоциональное состояние обучающегося. Обучающиеся – наставляемый школьного возраста получит необходимый стимул к образовательному, культурному, интеллектуальному совершенствованию, самореализации, а также развитию необходимых компетенций.</w:t>
      </w:r>
    </w:p>
    <w:p w14:paraId="49FFCBEB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Среди оцениваемых результатов: </w:t>
      </w:r>
    </w:p>
    <w:p w14:paraId="767FDC3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рост интереса к учебе;</w:t>
      </w:r>
    </w:p>
    <w:p w14:paraId="1E19CD9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-количественный и качественный рост успешно реализованных образовательных программ;</w:t>
      </w:r>
    </w:p>
    <w:p w14:paraId="7B91B4A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-рост подготовленности обучающегося к жизни, которая ждет их после окончания обучения;</w:t>
      </w:r>
    </w:p>
    <w:p w14:paraId="2D6FF97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-обучающийся преодолеет вынужденную замкнутость образовательного процесса и получит представление о реальном мире, своих перспективах и способах действия. </w:t>
      </w:r>
    </w:p>
    <w:p w14:paraId="420149B7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02438452">
      <w:pPr>
        <w:pStyle w:val="9"/>
        <w:spacing w:line="360" w:lineRule="auto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Мониторинг и оценка результатов реализации программы наставничества.</w:t>
      </w:r>
    </w:p>
    <w:p w14:paraId="67758D7E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Мониторинг программы наставничества состоит из двух основных этапов:</w:t>
      </w:r>
    </w:p>
    <w:p w14:paraId="18E4E126">
      <w:pPr>
        <w:widowControl w:val="0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качества процесса реализации программы наставничества;</w:t>
      </w:r>
    </w:p>
    <w:p w14:paraId="25545BD8">
      <w:pPr>
        <w:widowControl w:val="0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мотивационно-личностного, компетентностного, профессионального роста участников, динамика образовательных результатов.</w:t>
      </w:r>
    </w:p>
    <w:p w14:paraId="52B0008D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Сравнение изучаемых личностных характеристик участников программы наставничества проходит на «входе» и «выходе» реализуемой программы.</w:t>
      </w:r>
    </w:p>
    <w:p w14:paraId="28410904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Мониторинг проводится куратором и наставниками два раза за период наставничества: промежуточный и итоговый.</w:t>
      </w:r>
    </w:p>
    <w:p w14:paraId="43990D04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проведения мониторинга не выставляются отметки.</w:t>
      </w:r>
    </w:p>
    <w:p w14:paraId="106B3686">
      <w:pPr>
        <w:pStyle w:val="8"/>
        <w:keepNext/>
        <w:keepLines/>
        <w:spacing w:line="360" w:lineRule="auto"/>
        <w:rPr>
          <w:sz w:val="28"/>
          <w:szCs w:val="28"/>
        </w:rPr>
      </w:pPr>
      <w:bookmarkStart w:id="2" w:name="bookmark1"/>
      <w:bookmarkEnd w:id="2"/>
      <w:r>
        <w:rPr>
          <w:color w:val="000000"/>
          <w:sz w:val="28"/>
          <w:szCs w:val="28"/>
        </w:rPr>
        <w:t>Обязанности наставника:</w:t>
      </w:r>
    </w:p>
    <w:p w14:paraId="0AA9E868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Знать требования законодательства в сфере образования, ведомственных нормативных актов, Устава </w:t>
      </w:r>
      <w:r>
        <w:rPr>
          <w:sz w:val="28"/>
          <w:szCs w:val="28"/>
        </w:rPr>
        <w:t>МБОУ НОШ с.Дурген</w:t>
      </w:r>
      <w:r>
        <w:rPr>
          <w:color w:val="000000"/>
          <w:sz w:val="28"/>
          <w:szCs w:val="28"/>
        </w:rPr>
        <w:t>, определяющих права и обязанности.</w:t>
      </w:r>
    </w:p>
    <w:p w14:paraId="1D19D2DF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Разработать совместно с наставляемым план наставничества.</w:t>
      </w:r>
    </w:p>
    <w:p w14:paraId="24497EE5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Помогать наставляемому осознать свои сильные и слабые стороны и определить пути развития.</w:t>
      </w:r>
    </w:p>
    <w:p w14:paraId="0F98295A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Формировать наставнические отношения в условиях доверия, взаимообогащения и открытого диалога.</w:t>
      </w:r>
    </w:p>
    <w:p w14:paraId="30C03B5E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Ориентироваться на близкие, достижимые для наставляемого цели, но обсуждает с ним долгосрочную перспективу и будущее.</w:t>
      </w:r>
    </w:p>
    <w:p w14:paraId="49AD045D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Предлагать свою помощь в достижении целей и желаний наставляемого, и указывает на риски и противоречия.</w:t>
      </w:r>
    </w:p>
    <w:p w14:paraId="21FCD3B5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Не навязывать наставляемому собственное мнение и позицию, но стимулирует развитие у наставляемого своего индивидуального видения.</w:t>
      </w:r>
    </w:p>
    <w:p w14:paraId="0096BAA2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Оказывать наставляемому личностную и психологическую поддержку, мотивирует, подталкивает и ободряет его.</w:t>
      </w:r>
    </w:p>
    <w:p w14:paraId="2BB3BC03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Личным примером развивать положительные качества наставляемого,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</w:t>
      </w:r>
    </w:p>
    <w:p w14:paraId="4CD75145">
      <w:pPr>
        <w:pStyle w:val="7"/>
        <w:numPr>
          <w:ilvl w:val="0"/>
          <w:numId w:val="1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Подводить итоги наставнической программы, с формированием отчета о проделанной работе с предложениями и выводами.</w:t>
      </w:r>
      <w:bookmarkStart w:id="3" w:name="bookmark2"/>
      <w:bookmarkEnd w:id="3"/>
    </w:p>
    <w:p w14:paraId="04C7B11B">
      <w:pPr>
        <w:pStyle w:val="8"/>
        <w:keepNext/>
        <w:keepLines/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Права наставника:</w:t>
      </w:r>
    </w:p>
    <w:p w14:paraId="07F47057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Вносить на рассмотрение администрации школы предложения по совершенствованию работы, связанной с наставничеством.</w:t>
      </w:r>
    </w:p>
    <w:p w14:paraId="70C03D8D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Защищать профессиональную честь и достоинство.</w:t>
      </w:r>
    </w:p>
    <w:p w14:paraId="009E36F5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Знакомиться с жалобами и другими документами, содержащими оценку его работы, давать по ним объяснения.</w:t>
      </w:r>
    </w:p>
    <w:p w14:paraId="58AFED80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Проходить обучение с использованием федеральных программы, программ Школы наставничества.</w:t>
      </w:r>
    </w:p>
    <w:p w14:paraId="04050757">
      <w:pPr>
        <w:pStyle w:val="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Получать психологическое сопровождение.</w:t>
      </w:r>
    </w:p>
    <w:p w14:paraId="098F3EC5">
      <w:pPr>
        <w:widowControl w:val="0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Участвовать в школьных, региональных конкурсах наставничества.</w:t>
      </w:r>
    </w:p>
    <w:p w14:paraId="18F3F8FE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72E888A9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C5A8CE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ИНДИВИДУАЛЬНЫЙ ПЛАН РАЗВИТИЯ ПОД РУКОВОДСТВОМ НАСТАВНИКА</w:t>
      </w:r>
    </w:p>
    <w:p w14:paraId="7ECDE06D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634231EC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наставничества: « Учитель – ученик». </w:t>
      </w:r>
    </w:p>
    <w:p w14:paraId="37A2B9A7">
      <w:pPr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3"/>
        <w:tblW w:w="0" w:type="auto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65"/>
        <w:gridCol w:w="2670"/>
        <w:gridCol w:w="1542"/>
        <w:gridCol w:w="4356"/>
        <w:gridCol w:w="2022"/>
        <w:gridCol w:w="2694"/>
      </w:tblGrid>
      <w:tr w14:paraId="5A4E8E9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76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BACBC95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14:paraId="7306173B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</w:tcPr>
          <w:p w14:paraId="11959A6D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Проект, задание</w:t>
            </w:r>
          </w:p>
        </w:tc>
        <w:tc>
          <w:tcPr>
            <w:tcW w:w="1542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</w:tcPr>
          <w:p w14:paraId="20394600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Срок</w:t>
            </w:r>
          </w:p>
          <w:p w14:paraId="1305DB76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56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</w:tcPr>
          <w:p w14:paraId="6E2FBF8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Планируемый</w:t>
            </w:r>
          </w:p>
          <w:p w14:paraId="32921DB8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2022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</w:tcPr>
          <w:p w14:paraId="63211D00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Фактический результат</w:t>
            </w:r>
          </w:p>
        </w:tc>
        <w:tc>
          <w:tcPr>
            <w:tcW w:w="2694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</w:tcPr>
          <w:p w14:paraId="1C8DE0E0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  <w:p w14:paraId="59BB5002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наставника</w:t>
            </w:r>
          </w:p>
        </w:tc>
      </w:tr>
      <w:tr w14:paraId="657EFAD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</w:trPr>
        <w:tc>
          <w:tcPr>
            <w:tcW w:w="14049" w:type="dxa"/>
            <w:gridSpan w:val="6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106F617">
            <w:pPr>
              <w:spacing w:line="36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1. Анализ профессиональных трудностей и способы их преодоления</w:t>
            </w:r>
          </w:p>
        </w:tc>
      </w:tr>
      <w:tr w14:paraId="2CC7095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BC4F9DF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2670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</w:tcPr>
          <w:p w14:paraId="2A7CB78C">
            <w:pPr>
              <w:spacing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Определение фактического уровня знаний</w:t>
            </w:r>
          </w:p>
          <w:p w14:paraId="3232259F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2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</w:tcPr>
          <w:p w14:paraId="543BDD3F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4356" w:type="dxa"/>
            <w:vMerge w:val="restart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</w:tcPr>
          <w:p w14:paraId="239F87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выявление в знаниях учеников пробелов, которые требуют быстрой ликвидации</w:t>
            </w:r>
          </w:p>
        </w:tc>
        <w:tc>
          <w:tcPr>
            <w:tcW w:w="2022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</w:tcPr>
          <w:p w14:paraId="426CB326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</w:tcPr>
          <w:p w14:paraId="5F524D2B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07EAFC1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06F861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2670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1217F42A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Установление причин неуспеваемости учащихся через встречи с родителями, беседы со школьными специалистами: классным руководителем, психологом и обязательно с самим ребенком.</w:t>
            </w:r>
          </w:p>
        </w:tc>
        <w:tc>
          <w:tcPr>
            <w:tcW w:w="1542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2306E0B4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4356" w:type="dxa"/>
            <w:vMerge w:val="continue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 w14:paraId="31E95968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2CB71327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62C469F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14:paraId="7118FBE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40D345F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1.3.</w:t>
            </w:r>
          </w:p>
        </w:tc>
        <w:tc>
          <w:tcPr>
            <w:tcW w:w="2670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3D1A5400">
            <w:pPr>
              <w:spacing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Составление индивидуального плана работы по ликвидации пробелов в знаниях отстающего ученика</w:t>
            </w:r>
          </w:p>
        </w:tc>
        <w:tc>
          <w:tcPr>
            <w:tcW w:w="1542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3C039028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4356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5EFB8145">
            <w:pPr>
              <w:spacing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Выделение индивидуальных проблем обучающегося</w:t>
            </w:r>
          </w:p>
        </w:tc>
        <w:tc>
          <w:tcPr>
            <w:tcW w:w="2022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589376CA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4BC074F1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14:paraId="5BA25E2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049" w:type="dxa"/>
            <w:gridSpan w:val="6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5AB8A71">
            <w:pPr>
              <w:spacing w:line="36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2. Направления образовательного развития ученика</w:t>
            </w:r>
          </w:p>
        </w:tc>
      </w:tr>
      <w:tr w14:paraId="27D0533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A33C23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2.1.</w:t>
            </w:r>
          </w:p>
        </w:tc>
        <w:tc>
          <w:tcPr>
            <w:tcW w:w="2670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</w:tcPr>
          <w:p w14:paraId="4DA8603B">
            <w:pPr>
              <w:spacing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Использование дифференцированного подхода при организации самостоятельной работы на уроке. Включение посильных индивидуальных заданий.</w:t>
            </w:r>
          </w:p>
        </w:tc>
        <w:tc>
          <w:tcPr>
            <w:tcW w:w="1542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</w:tcPr>
          <w:p w14:paraId="7CBB5AC4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4356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</w:tcPr>
          <w:p w14:paraId="71A8A305">
            <w:pPr>
              <w:spacing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Рост динамике от занятия к занятию</w:t>
            </w:r>
          </w:p>
        </w:tc>
        <w:tc>
          <w:tcPr>
            <w:tcW w:w="2022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</w:tcPr>
          <w:p w14:paraId="4C7BC295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</w:tcPr>
          <w:p w14:paraId="4F826EDE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14:paraId="0B59992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07CEA01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2.2.</w:t>
            </w:r>
          </w:p>
        </w:tc>
        <w:tc>
          <w:tcPr>
            <w:tcW w:w="2670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5C2F3B2A">
            <w:pPr>
              <w:spacing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Контроль за выполнением домашнего задания</w:t>
            </w:r>
          </w:p>
        </w:tc>
        <w:tc>
          <w:tcPr>
            <w:tcW w:w="1542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543D0EC1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356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391BEB85">
            <w:pPr>
              <w:spacing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Повышение самостоятельности и качества выполнения домашнего задания</w:t>
            </w:r>
          </w:p>
        </w:tc>
        <w:tc>
          <w:tcPr>
            <w:tcW w:w="2022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5BB1FF8C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40136294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14:paraId="26FEC84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EF39011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2670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180FAAE4">
            <w:pPr>
              <w:spacing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Организация индивидуальной работы</w:t>
            </w:r>
          </w:p>
        </w:tc>
        <w:tc>
          <w:tcPr>
            <w:tcW w:w="1542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485439AA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356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680C0FB9">
            <w:pPr>
              <w:spacing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Повышение уровня самостоятельности при выполнении заданий</w:t>
            </w:r>
          </w:p>
        </w:tc>
        <w:tc>
          <w:tcPr>
            <w:tcW w:w="2022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3A084F5E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6C2F5265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14:paraId="03A6B8E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B6DFD66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2670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0D6E9E96">
            <w:pPr>
              <w:spacing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Ликвидация пробелов в знаниях, выявленных при выполнении самостоятельных и контрольных работ, повторный контроль</w:t>
            </w:r>
          </w:p>
        </w:tc>
        <w:tc>
          <w:tcPr>
            <w:tcW w:w="1542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29C6C507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356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57F4F975">
            <w:pPr>
              <w:spacing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Контроль знаний и умений </w:t>
            </w:r>
          </w:p>
        </w:tc>
        <w:tc>
          <w:tcPr>
            <w:tcW w:w="2022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561F8B18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7F75AE48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14:paraId="4D51056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6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1F3BD3D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2670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77EAFFCF">
            <w:pPr>
              <w:spacing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Карточки-подсказки, тренажеры</w:t>
            </w:r>
          </w:p>
          <w:p w14:paraId="6C4E7D15">
            <w:pPr>
              <w:spacing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7D68519B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356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68243DE1">
            <w:pPr>
              <w:spacing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Использование карточек-подсказок, тренажеров</w:t>
            </w:r>
          </w:p>
          <w:p w14:paraId="7110801A">
            <w:pPr>
              <w:spacing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0E11F5A0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outset" w:color="auto" w:sz="6" w:space="0"/>
              <w:right w:val="outset" w:color="auto" w:sz="6" w:space="0"/>
            </w:tcBorders>
          </w:tcPr>
          <w:p w14:paraId="5BE7C9D8">
            <w:pPr>
              <w:spacing w:line="36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32911BD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0DDEFB69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0EEB13C2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15D1C4C9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42651C75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6FEE057C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350BB5BF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3C3B12E9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1064FFD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2CA181F2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</w:t>
      </w:r>
    </w:p>
    <w:p w14:paraId="689B2771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638311B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Рекомендации при работе со слабоуспевающими учащимися</w:t>
      </w:r>
    </w:p>
    <w:p w14:paraId="01DF6C6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18F0669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 При опросе «слабоуспевающим» ученикам необходимо давать алгоритм ответа; разрешать пользоваться планом, составленным при подготовке домашнего задания; давать больше времени готовиться к ответу у доски; разрешать делать предварительные записи, пользоваться наглядными пособиями.</w:t>
      </w:r>
    </w:p>
    <w:p w14:paraId="14C03B4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По возможности задавать ученикам наводящие вопросы, которые помогут им последовательно изложить материал.</w:t>
      </w:r>
    </w:p>
    <w:p w14:paraId="7D30F51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Систематически проверять усвоение материала по темам уроков, на которых ученик отсутствовал по той или иной причине.</w:t>
      </w:r>
    </w:p>
    <w:p w14:paraId="5EAE3D1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 В ходе опроса и при анализе его результатов создать атмосферу доброжелательности.</w:t>
      </w:r>
    </w:p>
    <w:p w14:paraId="62E64E5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 В процессе изучения нового материала внимание «низко мотивированных» учеников обращается на наиболее сложные разделы изучаемой темы. Необходимо чаще обращаться к ним с вопросами, выясняющими  понимание учебного материала, стимулировать вопросы учеников при затруднениях в усвоении нового материала.</w:t>
      </w:r>
    </w:p>
    <w:p w14:paraId="1E10BE3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В ходе самостоятельной работы на уроке «слабоуспевающим» ученикам рекомендуется давать упражнения, направленные на устранение ошибок, допускаемых ими при устных ответах или в письменных работах.</w:t>
      </w:r>
    </w:p>
    <w:p w14:paraId="2AA676D6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Необходимо отмечать положительные моменты в их работе, затруднения  и указывать способы их устранения, оказывать помощь с одновременным развитием самостоятельности в учении.</w:t>
      </w:r>
    </w:p>
    <w:p w14:paraId="728BC66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F3931B7">
      <w:pPr>
        <w:shd w:val="clear" w:color="auto" w:fill="FFFFFF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АНКЕТА ДЛЯ УЧАЩИХСЯ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br w:type="textWrapping"/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Определение доминирующих мотивов учения</w:t>
      </w:r>
    </w:p>
    <w:p w14:paraId="0E02F553">
      <w:pPr>
        <w:shd w:val="clear" w:color="auto" w:fill="FFFFFF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Дорогой ученик! Для работы по преодолению неуспешности в обучении учителю необходимо знать наиболее и наименее осознаваемые мотивы твоего обучения.</w:t>
      </w:r>
    </w:p>
    <w:p w14:paraId="6B586554">
      <w:pPr>
        <w:shd w:val="clear" w:color="auto" w:fill="FFFFFF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Поставь, пожалуйста, напротив наименования мотива указанный балл.</w:t>
      </w:r>
    </w:p>
    <w:p w14:paraId="37C6BD69">
      <w:pPr>
        <w:numPr>
          <w:ilvl w:val="0"/>
          <w:numId w:val="2"/>
        </w:numPr>
        <w:shd w:val="clear" w:color="auto" w:fill="FFFFFF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Понимаю, что ученик должен учиться хорошо.</w:t>
      </w:r>
    </w:p>
    <w:p w14:paraId="259A3EF4">
      <w:pPr>
        <w:numPr>
          <w:ilvl w:val="0"/>
          <w:numId w:val="2"/>
        </w:numPr>
        <w:shd w:val="clear" w:color="auto" w:fill="FFFFFF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Хочу закончить школу и учиться дальше. </w:t>
      </w:r>
    </w:p>
    <w:p w14:paraId="5BFEF7BE">
      <w:pPr>
        <w:numPr>
          <w:ilvl w:val="0"/>
          <w:numId w:val="2"/>
        </w:numPr>
        <w:shd w:val="clear" w:color="auto" w:fill="FFFFFF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Понимаю, что знания мне нужны для будущего.</w:t>
      </w:r>
    </w:p>
    <w:p w14:paraId="24E8C474">
      <w:pPr>
        <w:numPr>
          <w:ilvl w:val="0"/>
          <w:numId w:val="2"/>
        </w:numPr>
        <w:shd w:val="clear" w:color="auto" w:fill="FFFFFF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Хочу быть культурным и развитым человеком </w:t>
      </w:r>
    </w:p>
    <w:p w14:paraId="74FDBCA2">
      <w:pPr>
        <w:numPr>
          <w:ilvl w:val="0"/>
          <w:numId w:val="2"/>
        </w:numPr>
        <w:shd w:val="clear" w:color="auto" w:fill="FFFFFF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Хочу получать хорошие отметки</w:t>
      </w:r>
    </w:p>
    <w:p w14:paraId="68EDDF7E">
      <w:pPr>
        <w:numPr>
          <w:ilvl w:val="0"/>
          <w:numId w:val="2"/>
        </w:numPr>
        <w:shd w:val="clear" w:color="auto" w:fill="FFFFFF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Хочу получать одобрение родителей</w:t>
      </w:r>
    </w:p>
    <w:p w14:paraId="23E51CCC">
      <w:pPr>
        <w:numPr>
          <w:ilvl w:val="0"/>
          <w:numId w:val="2"/>
        </w:numPr>
        <w:shd w:val="clear" w:color="auto" w:fill="FFFFFF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Хочу, чтобы класс был хорошего мнения обо мне</w:t>
      </w:r>
    </w:p>
    <w:p w14:paraId="035E8044">
      <w:pPr>
        <w:numPr>
          <w:ilvl w:val="0"/>
          <w:numId w:val="2"/>
        </w:numPr>
        <w:shd w:val="clear" w:color="auto" w:fill="FFFFFF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Хочу быть лучшим учеником в классе</w:t>
      </w:r>
    </w:p>
    <w:p w14:paraId="6634158D">
      <w:pPr>
        <w:numPr>
          <w:ilvl w:val="0"/>
          <w:numId w:val="2"/>
        </w:numPr>
        <w:shd w:val="clear" w:color="auto" w:fill="FFFFFF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Хочу, чтобы мои ответы на уроках были всегда лучше всех</w:t>
      </w:r>
    </w:p>
    <w:p w14:paraId="3FC70B11">
      <w:pPr>
        <w:numPr>
          <w:ilvl w:val="0"/>
          <w:numId w:val="2"/>
        </w:numPr>
        <w:shd w:val="clear" w:color="auto" w:fill="FFFFFF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Хочу занять достойное место среди лучших в классе    </w:t>
      </w:r>
    </w:p>
    <w:p w14:paraId="496E7915">
      <w:pPr>
        <w:numPr>
          <w:ilvl w:val="0"/>
          <w:numId w:val="2"/>
        </w:numPr>
        <w:shd w:val="clear" w:color="auto" w:fill="FFFFFF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Мне нравится учиться </w:t>
      </w:r>
    </w:p>
    <w:p w14:paraId="09B8A1F2">
      <w:pPr>
        <w:numPr>
          <w:ilvl w:val="0"/>
          <w:numId w:val="2"/>
        </w:numPr>
        <w:shd w:val="clear" w:color="auto" w:fill="FFFFFF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Люблю узнавать новое   </w:t>
      </w:r>
    </w:p>
    <w:p w14:paraId="624BA788">
      <w:pPr>
        <w:numPr>
          <w:ilvl w:val="0"/>
          <w:numId w:val="2"/>
        </w:numPr>
        <w:shd w:val="clear" w:color="auto" w:fill="FFFFFF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Нравятся необычные и нестандартные уроки учителей     </w:t>
      </w:r>
    </w:p>
    <w:p w14:paraId="2E0B1E90">
      <w:pPr>
        <w:numPr>
          <w:ilvl w:val="0"/>
          <w:numId w:val="2"/>
        </w:numPr>
        <w:shd w:val="clear" w:color="auto" w:fill="FFFFFF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Мне нравится преодолевать трудности в учебной деятельности </w:t>
      </w:r>
    </w:p>
    <w:p w14:paraId="703BA310">
      <w:pPr>
        <w:numPr>
          <w:ilvl w:val="0"/>
          <w:numId w:val="2"/>
        </w:numPr>
        <w:shd w:val="clear" w:color="auto" w:fill="FFFFFF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Люблю уроки, на которых можно рассуждать   </w:t>
      </w:r>
    </w:p>
    <w:p w14:paraId="7864D27B">
      <w:pPr>
        <w:numPr>
          <w:ilvl w:val="0"/>
          <w:numId w:val="2"/>
        </w:numPr>
        <w:shd w:val="clear" w:color="auto" w:fill="FFFFFF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Люблю, когда учитель оценивает справедливо мои учебные успехи  </w:t>
      </w:r>
    </w:p>
    <w:p w14:paraId="777BB9A1">
      <w:pPr>
        <w:shd w:val="clear" w:color="auto" w:fill="FFFFFF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Мотивы обучения:</w:t>
      </w:r>
    </w:p>
    <w:p w14:paraId="73A4722B">
      <w:pPr>
        <w:numPr>
          <w:ilvl w:val="0"/>
          <w:numId w:val="3"/>
        </w:numPr>
        <w:shd w:val="clear" w:color="auto" w:fill="FFFFFF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мотив долга и ответственности – № 1;</w:t>
      </w:r>
    </w:p>
    <w:p w14:paraId="1F4D97C7">
      <w:pPr>
        <w:numPr>
          <w:ilvl w:val="0"/>
          <w:numId w:val="3"/>
        </w:numPr>
        <w:shd w:val="clear" w:color="auto" w:fill="FFFFFF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мотивы самоопределения и самосовершенствования – № 2–4;</w:t>
      </w:r>
    </w:p>
    <w:p w14:paraId="0D29DFF1">
      <w:pPr>
        <w:numPr>
          <w:ilvl w:val="0"/>
          <w:numId w:val="3"/>
        </w:numPr>
        <w:shd w:val="clear" w:color="auto" w:fill="FFFFFF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мотивы собственного благополучия – № 5–7;</w:t>
      </w:r>
    </w:p>
    <w:p w14:paraId="3F1BA25E">
      <w:pPr>
        <w:numPr>
          <w:ilvl w:val="0"/>
          <w:numId w:val="3"/>
        </w:numPr>
        <w:shd w:val="clear" w:color="auto" w:fill="FFFFFF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мотивы престижности – № 8–10;</w:t>
      </w:r>
    </w:p>
    <w:p w14:paraId="286FA6A2">
      <w:pPr>
        <w:numPr>
          <w:ilvl w:val="0"/>
          <w:numId w:val="3"/>
        </w:numPr>
        <w:shd w:val="clear" w:color="auto" w:fill="FFFFFF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мотивы содержания учебной деятельности – № 11–13;</w:t>
      </w:r>
    </w:p>
    <w:p w14:paraId="627D8456">
      <w:pPr>
        <w:numPr>
          <w:ilvl w:val="0"/>
          <w:numId w:val="3"/>
        </w:numPr>
        <w:shd w:val="clear" w:color="auto" w:fill="FFFFFF"/>
        <w:spacing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мотивы отношения к процессу учения – № 14–16.</w:t>
      </w:r>
    </w:p>
    <w:p w14:paraId="6CB19FA0">
      <w:pPr>
        <w:spacing w:line="360" w:lineRule="auto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/>
          <w:b/>
          <w:bCs/>
          <w:color w:val="0000FF"/>
          <w:sz w:val="28"/>
          <w:szCs w:val="28"/>
        </w:rPr>
        <w:t xml:space="preserve"> </w:t>
      </w:r>
    </w:p>
    <w:p w14:paraId="3175A9A8">
      <w:pPr>
        <w:shd w:val="clear" w:color="auto" w:fill="FFFFFF"/>
        <w:spacing w:line="360" w:lineRule="auto"/>
        <w:rPr>
          <w:rFonts w:ascii="Times New Roman" w:hAnsi="Times New Roman" w:eastAsia="Calibri"/>
          <w:b/>
          <w:i/>
          <w:iCs/>
          <w:color w:val="000000"/>
          <w:sz w:val="28"/>
          <w:szCs w:val="28"/>
        </w:rPr>
      </w:pPr>
      <w:r>
        <w:rPr>
          <w:rFonts w:ascii="Times New Roman" w:hAnsi="Times New Roman" w:eastAsia="Calibri"/>
          <w:b/>
          <w:i/>
          <w:iCs/>
          <w:color w:val="000000"/>
          <w:sz w:val="28"/>
          <w:szCs w:val="28"/>
        </w:rPr>
        <w:t xml:space="preserve"> </w:t>
      </w:r>
    </w:p>
    <w:p w14:paraId="374764E2">
      <w:pPr>
        <w:shd w:val="clear" w:color="auto" w:fill="FFFFFF"/>
        <w:spacing w:line="360" w:lineRule="auto"/>
        <w:rPr>
          <w:rFonts w:ascii="Times New Roman" w:hAnsi="Times New Roman" w:eastAsia="Calibri"/>
          <w:b/>
          <w:i/>
          <w:iCs/>
          <w:color w:val="000000"/>
          <w:sz w:val="28"/>
          <w:szCs w:val="28"/>
        </w:rPr>
      </w:pPr>
      <w:r>
        <w:rPr>
          <w:rFonts w:ascii="Times New Roman" w:hAnsi="Times New Roman" w:eastAsia="Calibri"/>
          <w:b/>
          <w:i/>
          <w:iCs/>
          <w:color w:val="000000"/>
          <w:sz w:val="28"/>
          <w:szCs w:val="28"/>
        </w:rPr>
        <w:t xml:space="preserve"> </w:t>
      </w:r>
    </w:p>
    <w:p w14:paraId="56FB8CD4">
      <w:pPr>
        <w:shd w:val="clear" w:color="auto" w:fill="FFFFFF"/>
        <w:spacing w:line="360" w:lineRule="auto"/>
        <w:rPr>
          <w:rFonts w:ascii="Times New Roman" w:hAnsi="Times New Roman" w:eastAsia="Calibri"/>
          <w:b/>
          <w:i/>
          <w:iCs/>
          <w:color w:val="000000"/>
          <w:sz w:val="28"/>
          <w:szCs w:val="28"/>
        </w:rPr>
      </w:pPr>
      <w:r>
        <w:rPr>
          <w:rFonts w:ascii="Times New Roman" w:hAnsi="Times New Roman" w:eastAsia="Calibri"/>
          <w:b/>
          <w:i/>
          <w:iCs/>
          <w:color w:val="000000"/>
          <w:sz w:val="28"/>
          <w:szCs w:val="28"/>
        </w:rPr>
        <w:t xml:space="preserve"> </w:t>
      </w:r>
    </w:p>
    <w:p w14:paraId="43184F0E">
      <w:pPr>
        <w:shd w:val="clear" w:color="auto" w:fill="FFFFFF"/>
        <w:spacing w:line="360" w:lineRule="auto"/>
        <w:rPr>
          <w:rFonts w:ascii="Times New Roman" w:hAnsi="Times New Roman" w:eastAsia="Calibri"/>
          <w:b/>
          <w:i/>
          <w:iCs/>
          <w:color w:val="000000"/>
          <w:sz w:val="28"/>
          <w:szCs w:val="28"/>
        </w:rPr>
      </w:pPr>
      <w:r>
        <w:rPr>
          <w:rFonts w:ascii="Times New Roman" w:hAnsi="Times New Roman" w:eastAsia="Calibri"/>
          <w:b/>
          <w:i/>
          <w:iCs/>
          <w:color w:val="000000"/>
          <w:sz w:val="28"/>
          <w:szCs w:val="28"/>
        </w:rPr>
        <w:t xml:space="preserve"> </w:t>
      </w:r>
    </w:p>
    <w:p w14:paraId="3646B0DD">
      <w:pPr>
        <w:shd w:val="clear" w:color="auto" w:fill="FFFFFF"/>
        <w:spacing w:line="360" w:lineRule="auto"/>
        <w:rPr>
          <w:rFonts w:ascii="Times New Roman" w:hAnsi="Times New Roman" w:eastAsia="Calibri"/>
          <w:b/>
          <w:i/>
          <w:iCs/>
          <w:color w:val="000000"/>
          <w:sz w:val="28"/>
          <w:szCs w:val="28"/>
        </w:rPr>
      </w:pPr>
      <w:r>
        <w:rPr>
          <w:rFonts w:ascii="Times New Roman" w:hAnsi="Times New Roman" w:eastAsia="Calibri"/>
          <w:b/>
          <w:i/>
          <w:iCs/>
          <w:color w:val="000000"/>
          <w:sz w:val="28"/>
          <w:szCs w:val="28"/>
        </w:rPr>
        <w:t xml:space="preserve"> </w:t>
      </w:r>
    </w:p>
    <w:p w14:paraId="71371117">
      <w:pPr>
        <w:shd w:val="clear" w:color="auto" w:fill="FFFFFF"/>
        <w:spacing w:line="360" w:lineRule="auto"/>
        <w:rPr>
          <w:rFonts w:ascii="Times New Roman" w:hAnsi="Times New Roman" w:eastAsia="Calibri"/>
          <w:b/>
          <w:i/>
          <w:iCs/>
          <w:color w:val="000000"/>
          <w:sz w:val="28"/>
          <w:szCs w:val="28"/>
        </w:rPr>
      </w:pPr>
      <w:r>
        <w:rPr>
          <w:rFonts w:ascii="Times New Roman" w:hAnsi="Times New Roman" w:eastAsia="Calibri"/>
          <w:b/>
          <w:i/>
          <w:iCs/>
          <w:color w:val="000000"/>
          <w:sz w:val="28"/>
          <w:szCs w:val="28"/>
        </w:rPr>
        <w:t xml:space="preserve"> </w:t>
      </w:r>
    </w:p>
    <w:p w14:paraId="339BB54F">
      <w:pPr>
        <w:shd w:val="clear" w:color="auto" w:fill="FFFFFF"/>
        <w:spacing w:line="360" w:lineRule="auto"/>
        <w:rPr>
          <w:rFonts w:ascii="Times New Roman" w:hAnsi="Times New Roman" w:eastAsia="Calibri"/>
          <w:b/>
          <w:i/>
          <w:iCs/>
          <w:color w:val="000000"/>
          <w:sz w:val="28"/>
          <w:szCs w:val="28"/>
        </w:rPr>
      </w:pPr>
    </w:p>
    <w:p w14:paraId="1D05775D">
      <w:pPr>
        <w:shd w:val="clear" w:color="auto" w:fill="FFFFFF"/>
        <w:spacing w:line="360" w:lineRule="auto"/>
        <w:rPr>
          <w:rFonts w:ascii="Times New Roman" w:hAnsi="Times New Roman" w:eastAsia="Calibri"/>
          <w:b/>
          <w:i/>
          <w:iCs/>
          <w:color w:val="000000"/>
          <w:sz w:val="28"/>
          <w:szCs w:val="28"/>
        </w:rPr>
      </w:pPr>
      <w:r>
        <w:rPr>
          <w:rFonts w:ascii="Times New Roman" w:hAnsi="Times New Roman" w:eastAsia="Calibri"/>
          <w:b/>
          <w:i/>
          <w:iCs/>
          <w:color w:val="000000"/>
          <w:sz w:val="28"/>
          <w:szCs w:val="28"/>
        </w:rPr>
        <w:t xml:space="preserve"> </w:t>
      </w:r>
    </w:p>
    <w:p w14:paraId="4BE8E307">
      <w:pPr>
        <w:shd w:val="clear" w:color="auto" w:fill="FFFFFF"/>
        <w:spacing w:line="360" w:lineRule="auto"/>
        <w:jc w:val="center"/>
        <w:rPr>
          <w:rFonts w:ascii="Times New Roman" w:hAnsi="Times New Roman" w:eastAsia="Calibri"/>
          <w:b/>
          <w:i/>
          <w:iCs/>
          <w:color w:val="000000"/>
          <w:sz w:val="28"/>
          <w:szCs w:val="28"/>
        </w:rPr>
      </w:pPr>
      <w:r>
        <w:rPr>
          <w:rFonts w:ascii="Times New Roman" w:hAnsi="Times New Roman" w:eastAsia="Calibri"/>
          <w:b/>
          <w:i/>
          <w:iCs/>
          <w:color w:val="000000"/>
          <w:sz w:val="28"/>
          <w:szCs w:val="28"/>
        </w:rPr>
        <w:t>Профилактика неуспеваемости</w:t>
      </w:r>
    </w:p>
    <w:p w14:paraId="3CEAE789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Оказание помощи неуспевающему ученику на уроке</w:t>
      </w:r>
    </w:p>
    <w:p w14:paraId="14F4DD33">
      <w:pPr>
        <w:shd w:val="clear" w:color="auto" w:fill="FFFFFF"/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tbl>
      <w:tblPr>
        <w:tblStyle w:val="3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977"/>
        <w:gridCol w:w="8930"/>
      </w:tblGrid>
      <w:tr w14:paraId="228490B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9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D5C59E5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sz w:val="28"/>
                <w:szCs w:val="28"/>
              </w:rPr>
              <w:t>Этапы урока</w:t>
            </w:r>
          </w:p>
        </w:tc>
        <w:tc>
          <w:tcPr>
            <w:tcW w:w="89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10ED65C">
            <w:pPr>
              <w:spacing w:line="360" w:lineRule="auto"/>
              <w:jc w:val="center"/>
              <w:rPr>
                <w:rFonts w:ascii="Times New Roman" w:hAnsi="Times New Roman" w:eastAsia="Calibri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/>
                <w:b/>
                <w:sz w:val="28"/>
                <w:szCs w:val="28"/>
              </w:rPr>
              <w:t>Акценты в обучении</w:t>
            </w:r>
          </w:p>
        </w:tc>
      </w:tr>
      <w:tr w14:paraId="47AA727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97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B8DA7F5">
            <w:pPr>
              <w:shd w:val="clear" w:color="auto" w:fill="FFFFFF"/>
              <w:spacing w:line="360" w:lineRule="auto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color w:val="000000"/>
                <w:sz w:val="28"/>
                <w:szCs w:val="28"/>
              </w:rPr>
              <w:t>В процессе контроля за подготовленно</w:t>
            </w:r>
            <w:r>
              <w:rPr>
                <w:rFonts w:ascii="Times New Roman" w:hAnsi="Times New Roman" w:eastAsia="Calibri"/>
                <w:color w:val="000000"/>
                <w:sz w:val="28"/>
                <w:szCs w:val="28"/>
              </w:rPr>
              <w:softHyphen/>
            </w:r>
            <w:r>
              <w:rPr>
                <w:rFonts w:ascii="Times New Roman" w:hAnsi="Times New Roman" w:eastAsia="Calibri"/>
                <w:color w:val="000000"/>
                <w:sz w:val="28"/>
                <w:szCs w:val="28"/>
              </w:rPr>
              <w:t>стью учащихся</w:t>
            </w:r>
          </w:p>
          <w:p w14:paraId="6B8D3679">
            <w:pPr>
              <w:spacing w:line="360" w:lineRule="auto"/>
              <w:rPr>
                <w:rFonts w:ascii="Times New Roman" w:hAnsi="Times New Roman" w:eastAsia="Calibri"/>
                <w:b/>
                <w:sz w:val="28"/>
                <w:szCs w:val="28"/>
                <w:u w:val="single"/>
              </w:rPr>
            </w:pPr>
          </w:p>
        </w:tc>
        <w:tc>
          <w:tcPr>
            <w:tcW w:w="893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CD7588C">
            <w:pPr>
              <w:spacing w:line="360" w:lineRule="auto"/>
              <w:jc w:val="both"/>
              <w:rPr>
                <w:rFonts w:ascii="Times New Roman" w:hAnsi="Times New Roman" w:eastAsia="Calibri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t xml:space="preserve">Специально контролировать усвоение вопросов, обычно вызывающих у учащихся наибольшие затруднения. Тщательно анализировать и систематизировать ошибки, допускаемые учениками в устных ответах, письменных работах, выявить типичные для класса и концентрировать внимание на их устранении. Контролировать усвоение материала учениками, пропустившими предыдущие уроки. По окончании усвоения темы или раздела, обобщать итоги усвоения основных понятий, законов, правил, умений и навыков школьниками, выявлять причины отставания. </w:t>
            </w:r>
          </w:p>
        </w:tc>
      </w:tr>
      <w:tr w14:paraId="553A649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97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265E1E9">
            <w:pPr>
              <w:shd w:val="clear" w:color="auto" w:fill="FFFFFF"/>
              <w:spacing w:line="360" w:lineRule="auto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color w:val="000000"/>
                <w:sz w:val="28"/>
                <w:szCs w:val="28"/>
              </w:rPr>
              <w:t>При изложении нового  материала</w:t>
            </w:r>
          </w:p>
          <w:p w14:paraId="039CA16D">
            <w:pPr>
              <w:spacing w:line="360" w:lineRule="auto"/>
              <w:rPr>
                <w:rFonts w:ascii="Times New Roman" w:hAnsi="Times New Roman" w:eastAsia="Calibri"/>
                <w:b/>
                <w:sz w:val="28"/>
                <w:szCs w:val="28"/>
                <w:u w:val="single"/>
              </w:rPr>
            </w:pPr>
          </w:p>
        </w:tc>
        <w:tc>
          <w:tcPr>
            <w:tcW w:w="893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207A381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t>Обязательно проверять в ходе урока степень понимания учащимися основных элементов излагаемого материала. Стимулировать вопросы со стороны учащихся при затруднениях в усвоении учебного материала. Применять средства поддержания интереса к усвоению знаний. Обеспечивать разнообразие методов обучения, позволяющих всем учащимся активно усваивать материал.</w:t>
            </w:r>
          </w:p>
        </w:tc>
      </w:tr>
      <w:tr w14:paraId="0EA5BCE3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97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1D62C75">
            <w:pPr>
              <w:spacing w:line="360" w:lineRule="auto"/>
              <w:rPr>
                <w:rFonts w:ascii="Times New Roman" w:hAnsi="Times New Roman" w:eastAsia="Calibri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eastAsia="Calibri"/>
                <w:color w:val="000000"/>
                <w:sz w:val="28"/>
                <w:szCs w:val="28"/>
              </w:rPr>
              <w:t>В ходе самостоятельной работы учащихся на уроке</w:t>
            </w:r>
          </w:p>
        </w:tc>
        <w:tc>
          <w:tcPr>
            <w:tcW w:w="893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A6FE263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t xml:space="preserve">Подбирать для самостоятельной работы задания по наиболее существенным, сложным и трудным разделам учебного материала, стремясь меньшим числом упражнений, но поданных в определенной системе, достичь большего эффекта. Включать в содержание самостоятельной работы упражнения по устранению ошибок, допущенных при ответах и в письменных работах. Инструктировать о порядке выполнения работы. Стимулировать постановку вопросов к учителю при затруднениях в самостоятельной работе. Умело оказывать помощь ученикам в работе, всемерно развивать их самостоятельность. Учить умениям планировать работу, выполнять ее в должном темпе и осуществлять контроль.  </w:t>
            </w:r>
          </w:p>
        </w:tc>
      </w:tr>
      <w:tr w14:paraId="33CB053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4977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D786D2F">
            <w:pPr>
              <w:spacing w:line="360" w:lineRule="auto"/>
              <w:rPr>
                <w:rFonts w:ascii="Times New Roman" w:hAnsi="Times New Roman" w:eastAsia="Calibri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color w:val="000000"/>
                <w:sz w:val="28"/>
                <w:szCs w:val="28"/>
              </w:rPr>
              <w:t>При организации самостоятельной работы вне класса</w:t>
            </w:r>
          </w:p>
        </w:tc>
        <w:tc>
          <w:tcPr>
            <w:tcW w:w="893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D91E45E">
            <w:pPr>
              <w:spacing w:line="360" w:lineRule="auto"/>
              <w:jc w:val="both"/>
              <w:rPr>
                <w:rFonts w:ascii="Times New Roman" w:hAnsi="Times New Roman" w:eastAsia="Calibri"/>
                <w:sz w:val="28"/>
                <w:szCs w:val="28"/>
              </w:rPr>
            </w:pPr>
            <w:r>
              <w:rPr>
                <w:rFonts w:ascii="Times New Roman" w:hAnsi="Times New Roman" w:eastAsia="Calibri"/>
                <w:sz w:val="28"/>
                <w:szCs w:val="28"/>
              </w:rPr>
              <w:t>Обеспечить в ходе домашней работы повторение пройденного, концентрируя внимание на наиболее существенных элементах программы, вызывающих обычно наибольшие затруднения. Систематически давать домашние задания по работе над типичными ошибками. Четко инструктировать учащихся о порядке выполнения домашних работ, проверять степень понимания этих инструкций слабоуспевающими школьниками. Согласовать объем домашних заданий с другими учителями класса, исключая перегрузку, особенно слабоуспевающих учеников.</w:t>
            </w:r>
          </w:p>
        </w:tc>
      </w:tr>
    </w:tbl>
    <w:p w14:paraId="02BEAD1D">
      <w:pPr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1DE8402D">
      <w:pPr>
        <w:shd w:val="clear" w:color="auto" w:fill="FFFFFF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5195FCD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9AE9544">
      <w:pPr>
        <w:spacing w:line="360" w:lineRule="auto"/>
        <w:rPr>
          <w:rFonts w:ascii="Times New Roman" w:hAnsi="Times New Roman"/>
          <w:sz w:val="28"/>
          <w:szCs w:val="28"/>
        </w:rPr>
      </w:pPr>
    </w:p>
    <w:sectPr>
      <w:pgSz w:w="16838" w:h="11906" w:orient="landscape"/>
      <w:pgMar w:top="1134" w:right="1134" w:bottom="1701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402512"/>
    <w:multiLevelType w:val="multilevel"/>
    <w:tmpl w:val="05402512"/>
    <w:lvl w:ilvl="0" w:tentative="0">
      <w:start w:val="1"/>
      <w:numFmt w:val="bullet"/>
      <w:lvlText w:val="•"/>
      <w:lvlJc w:val="left"/>
      <w:pPr>
        <w:ind w:left="720" w:hanging="360"/>
      </w:pPr>
      <w:rPr>
        <w:rFonts w:hint="default" w:ascii="Times New Roman" w:hAnsi="Times New Roman" w:cs="Times New Roman"/>
        <w:b w:val="0"/>
        <w:bCs w:val="0"/>
        <w:i w:val="0"/>
        <w:iCs w:val="0"/>
        <w:smallCaps w:val="0"/>
        <w:color w:val="000000"/>
      </w:rPr>
    </w:lvl>
    <w:lvl w:ilvl="1" w:tentative="0">
      <w:start w:val="0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0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0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0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0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0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0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0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233F59DF"/>
    <w:multiLevelType w:val="multilevel"/>
    <w:tmpl w:val="233F59D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">
    <w:nsid w:val="316F1D2E"/>
    <w:multiLevelType w:val="multilevel"/>
    <w:tmpl w:val="316F1D2E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hint="default" w:ascii="Times New Roman" w:hAnsi="Times New Roman" w:cs="Times New Roman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E75"/>
    <w:rsid w:val="00C86212"/>
    <w:rsid w:val="00F34E75"/>
    <w:rsid w:val="701D6AD2"/>
    <w:rsid w:val="7D29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Calibri" w:hAnsi="Calibri" w:eastAsia="SimSu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ascii="Times New Roman" w:hAnsi="Times New Roman" w:eastAsia="Times New Roman"/>
    </w:rPr>
  </w:style>
  <w:style w:type="paragraph" w:customStyle="1" w:styleId="5">
    <w:name w:val="List Paragraph"/>
    <w:basedOn w:val="1"/>
    <w:qFormat/>
    <w:uiPriority w:val="0"/>
    <w:pPr>
      <w:spacing w:before="100" w:beforeAutospacing="1" w:after="100" w:afterAutospacing="1"/>
    </w:pPr>
  </w:style>
  <w:style w:type="paragraph" w:customStyle="1" w:styleId="6">
    <w:name w:val="c5"/>
    <w:basedOn w:val="1"/>
    <w:qFormat/>
    <w:uiPriority w:val="0"/>
    <w:pPr>
      <w:spacing w:before="100" w:beforeAutospacing="1" w:after="100" w:afterAutospacing="1"/>
    </w:pPr>
    <w:rPr>
      <w:rFonts w:ascii="Times New Roman" w:hAnsi="Times New Roman" w:eastAsia="Times New Roman"/>
    </w:rPr>
  </w:style>
  <w:style w:type="paragraph" w:customStyle="1" w:styleId="7">
    <w:name w:val="Основной текст3"/>
    <w:basedOn w:val="1"/>
    <w:uiPriority w:val="0"/>
    <w:pPr>
      <w:widowControl w:val="0"/>
      <w:shd w:val="clear" w:color="auto" w:fill="FFFFFF"/>
      <w:spacing w:before="100" w:beforeAutospacing="1" w:after="100" w:afterAutospacing="1"/>
      <w:jc w:val="center"/>
    </w:pPr>
    <w:rPr>
      <w:rFonts w:ascii="Times New Roman" w:hAnsi="Times New Roman" w:eastAsia="Times New Roman"/>
    </w:rPr>
  </w:style>
  <w:style w:type="paragraph" w:customStyle="1" w:styleId="8">
    <w:name w:val="Заголовок №2"/>
    <w:basedOn w:val="1"/>
    <w:qFormat/>
    <w:uiPriority w:val="0"/>
    <w:pPr>
      <w:widowControl w:val="0"/>
      <w:shd w:val="clear" w:color="auto" w:fill="FFFFFF"/>
      <w:spacing w:before="100" w:beforeAutospacing="1" w:after="100" w:afterAutospacing="1"/>
      <w:jc w:val="both"/>
      <w:outlineLvl w:val="1"/>
    </w:pPr>
    <w:rPr>
      <w:rFonts w:ascii="Times New Roman" w:hAnsi="Times New Roman" w:eastAsia="Times New Roman"/>
      <w:b/>
      <w:bCs/>
    </w:rPr>
  </w:style>
  <w:style w:type="paragraph" w:customStyle="1" w:styleId="9">
    <w:name w:val="Основной текст (6)"/>
    <w:basedOn w:val="1"/>
    <w:uiPriority w:val="0"/>
    <w:pPr>
      <w:widowControl w:val="0"/>
      <w:shd w:val="clear" w:color="auto" w:fill="FFFFFF"/>
      <w:spacing w:before="100" w:beforeAutospacing="1" w:after="100" w:afterAutospacing="1" w:line="0" w:lineRule="atLeast"/>
      <w:jc w:val="both"/>
    </w:pPr>
    <w:rPr>
      <w:rFonts w:ascii="Times New Roman" w:hAnsi="Times New Roman" w:eastAsia="Times New Roman"/>
      <w:b/>
      <w:bCs/>
    </w:rPr>
  </w:style>
  <w:style w:type="character" w:customStyle="1" w:styleId="10">
    <w:name w:val="15"/>
    <w:basedOn w:val="2"/>
    <w:uiPriority w:val="0"/>
    <w:rPr>
      <w:rFonts w:hint="default" w:ascii="Times New Roman" w:hAnsi="Times New Roman" w:cs="Times New Roman"/>
      <w:color w:val="0066CC"/>
      <w:u w:val="single"/>
    </w:rPr>
  </w:style>
  <w:style w:type="character" w:customStyle="1" w:styleId="11">
    <w:name w:val="16"/>
    <w:basedOn w:val="2"/>
    <w:qFormat/>
    <w:uiPriority w:val="0"/>
    <w:rPr>
      <w:rFonts w:hint="default" w:ascii="Times New Roman" w:hAnsi="Times New Roman" w:cs="Times New Roman"/>
    </w:rPr>
  </w:style>
  <w:style w:type="character" w:customStyle="1" w:styleId="12">
    <w:name w:val="17"/>
    <w:basedOn w:val="2"/>
    <w:qFormat/>
    <w:uiPriority w:val="0"/>
    <w:rPr>
      <w:rFonts w:hint="default" w:ascii="Times New Roman" w:hAnsi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2262</Words>
  <Characters>12900</Characters>
  <Lines>107</Lines>
  <Paragraphs>30</Paragraphs>
  <TotalTime>1</TotalTime>
  <ScaleCrop>false</ScaleCrop>
  <LinksUpToDate>false</LinksUpToDate>
  <CharactersWithSpaces>15132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2024-12-08T09:30:00Z</dcterms:created>
  <dc:creator>Пользователь</dc:creator>
  <cp:lastModifiedBy>1</cp:lastModifiedBy>
  <dcterms:modified xsi:type="dcterms:W3CDTF">2024-12-13T08:38:08Z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99B4741C04FC47758B974E2F965007FC_12</vt:lpwstr>
  </property>
</Properties>
</file>